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</w:tblPrEx>
        <w:trPr>
          <w:trHeight w:val="500" w:hRule="atLeast"/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Arial Narrow" w:hAnsi="Arial Narrow" w:eastAsia="宋体" w:cs="宋体"/>
                <w:color w:val="005F97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0"/>
                <w:szCs w:val="30"/>
              </w:rPr>
              <w:t>安徽成骏家居制造有限公司年加工32万套木制工艺品5万套家具生产线项目职业病危害控制效果评价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7719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8"/>
              <w:gridCol w:w="6111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5" w:hRule="atLeast"/>
                <w:tblCellSpacing w:w="0" w:type="dxa"/>
                <w:jc w:val="center"/>
              </w:trPr>
              <w:tc>
                <w:tcPr>
                  <w:tcW w:w="771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评价报告编号：17KP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913416006820856612010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2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项目名称</w:t>
                  </w: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安徽成骏家居制造有限公司年加工32万套木制工艺品5万套家具生产线项目职业病危害控制效果评价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5" w:hRule="atLeast"/>
                <w:tblCellSpacing w:w="0" w:type="dxa"/>
                <w:jc w:val="center"/>
              </w:trPr>
              <w:tc>
                <w:tcPr>
                  <w:tcW w:w="1608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项目简介</w:t>
                  </w: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建设单位名称：安徽成骏家居制造有限公司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5" w:hRule="atLeast"/>
                <w:tblCellSpacing w:w="0" w:type="dxa"/>
                <w:jc w:val="center"/>
              </w:trPr>
              <w:tc>
                <w:tcPr>
                  <w:tcW w:w="16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kern w:val="0"/>
                    </w:rPr>
                  </w:pP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地理位置：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涡阳县紫光大道西段南侧（城西工业园区）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5" w:hRule="atLeast"/>
                <w:tblCellSpacing w:w="0" w:type="dxa"/>
                <w:jc w:val="center"/>
              </w:trPr>
              <w:tc>
                <w:tcPr>
                  <w:tcW w:w="16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kern w:val="0"/>
                    </w:rPr>
                  </w:pP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联系人：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潘俊辉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2" w:hRule="atLeast"/>
                <w:tblCellSpacing w:w="0" w:type="dxa"/>
                <w:jc w:val="center"/>
              </w:trPr>
              <w:tc>
                <w:tcPr>
                  <w:tcW w:w="16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kern w:val="0"/>
                    </w:rPr>
                  </w:pP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简介：本项目为建设单位年加工32万套木制工艺品5万套家具生产线项目，主要产品为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板式家具和实木家具</w:t>
                  </w:r>
                  <w:r>
                    <w:rPr>
                      <w:rFonts w:hint="eastAsia"/>
                      <w:kern w:val="0"/>
                    </w:rPr>
                    <w:t>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12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现场调查、人员名单、时间，建设单位陪同人</w:t>
                  </w: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现场调查时间：201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kern w:val="0"/>
                    </w:rPr>
                    <w:t>年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9</w:t>
                  </w:r>
                  <w:r>
                    <w:rPr>
                      <w:rFonts w:hint="eastAsia"/>
                      <w:kern w:val="0"/>
                    </w:rPr>
                    <w:t>月1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kern w:val="0"/>
                    </w:rPr>
                    <w:t>日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现场调查人员名单：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张娟</w:t>
                  </w:r>
                  <w:r>
                    <w:rPr>
                      <w:rFonts w:hint="eastAsia"/>
                      <w:kern w:val="0"/>
                    </w:rPr>
                    <w:t>、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李</w:t>
                  </w:r>
                  <w:r>
                    <w:rPr>
                      <w:rFonts w:hint="eastAsia"/>
                      <w:kern w:val="0"/>
                    </w:rPr>
                    <w:t>楠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建设单位陪同人：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刘井全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7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建设项目存在的职业病危害因素</w:t>
                  </w: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  <w:lang w:eastAsia="zh-CN"/>
                    </w:rPr>
                    <w:t>木粉尘、甲醛</w:t>
                  </w:r>
                  <w:r>
                    <w:rPr>
                      <w:rFonts w:hint="eastAsia"/>
                      <w:kern w:val="0"/>
                    </w:rPr>
                    <w:t>、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萘、邻苯二甲酸二丁酯、苯系物（甲苯、二甲苯）、</w:t>
                  </w:r>
                  <w:r>
                    <w:rPr>
                      <w:rFonts w:hint="eastAsia"/>
                      <w:kern w:val="0"/>
                    </w:rPr>
                    <w:t>噪声等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评价结论与建议</w:t>
                  </w: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根据《建设项目职业病危害风险分类管理目录（2012版）》，本项目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属于</w:t>
                  </w:r>
                  <w:r>
                    <w:rPr>
                      <w:rFonts w:hint="eastAsia"/>
                      <w:kern w:val="0"/>
                    </w:rPr>
                    <w:t>第二大类制造类中第九小类：家具制造业中木质家具制造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，</w:t>
                  </w:r>
                  <w:r>
                    <w:rPr>
                      <w:rFonts w:hint="eastAsia"/>
                      <w:kern w:val="0"/>
                    </w:rPr>
                    <w:t>属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严重</w:t>
                  </w:r>
                  <w:r>
                    <w:rPr>
                      <w:rFonts w:hint="eastAsia"/>
                      <w:kern w:val="0"/>
                    </w:rPr>
                    <w:t>类项目。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经本次评价的综合分析，本项目职业病危害检测结果基本符合国家限值要求，防护设施基本正常，防护用品符合要求。本项目职业病危害控制效果评价基本合格，具备竣工验收条件。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建议包括持续改进性建议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12</w:t>
                  </w:r>
                  <w:r>
                    <w:rPr>
                      <w:rFonts w:hint="eastAsia"/>
                      <w:kern w:val="0"/>
                    </w:rPr>
                    <w:t>条，预防性告知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kern w:val="0"/>
                    </w:rPr>
                    <w:t>条。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专家评审意见</w:t>
                  </w: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报告书基本符合《中华人民共和国职业病防治法》等相关法律、法规、标准要求，《控评报告》符合建设项目职业病危害控制效果评价编制要求，对建设项目的职业病防护设施调查分析与评价较为客观，职业病危害因素调查、检测较为全面。</w:t>
                  </w:r>
                </w:p>
                <w:p>
                  <w:pPr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评价机构应按照专家意见和建议并根据建设单位的落实情况，修改完善《报告书》，报专家组复核。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请建设单位认真落实专家建议及《报告书》提出的建议，积极改进存在的问题，整改完善后同意 通过职业病危害防护设施验收。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kern w:val="0"/>
                    </w:rPr>
                    <w:t>2017年</w:t>
                  </w:r>
                  <w:r>
                    <w:rPr>
                      <w:rFonts w:hint="eastAsia" w:ascii="仿宋_GB2312" w:eastAsia="仿宋_GB2312"/>
                      <w:kern w:val="0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kern w:val="0"/>
                    </w:rPr>
                    <w:t>月</w:t>
                  </w:r>
                  <w:r>
                    <w:rPr>
                      <w:rFonts w:hint="eastAsia" w:ascii="仿宋_GB2312" w:eastAsia="仿宋_GB2312"/>
                      <w:kern w:val="0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kern w:val="0"/>
                    </w:rPr>
                    <w:t>1日，修改完善后的报告书及建设单位整改后的情况报专家组复核后，同意通过评审及验收。</w:t>
                  </w:r>
                </w:p>
              </w:tc>
            </w:tr>
          </w:tbl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380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  <w:jc w:val="center"/>
        </w:trPr>
        <w:tc>
          <w:tcPr>
            <w:tcW w:w="8380" w:type="dxa"/>
            <w:shd w:val="clear" w:color="auto" w:fill="FFFFFF"/>
            <w:vAlign w:val="center"/>
          </w:tcPr>
          <w:p>
            <w:pPr>
              <w:widowControl/>
              <w:spacing w:line="2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0"/>
                <w:szCs w:val="30"/>
                <w:lang w:eastAsia="zh-CN"/>
              </w:rPr>
              <w:t>蒙城佳仕龙机械制造有限公司汽车配套组件生产线建设项目</w:t>
            </w:r>
          </w:p>
          <w:p>
            <w:pPr>
              <w:widowControl/>
              <w:spacing w:line="250" w:lineRule="atLeast"/>
              <w:jc w:val="center"/>
              <w:rPr>
                <w:rFonts w:ascii="Arial Narrow" w:hAnsi="Arial Narrow" w:eastAsia="宋体" w:cs="宋体"/>
                <w:color w:val="005F97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0"/>
                <w:szCs w:val="30"/>
              </w:rPr>
              <w:t>职业病危害控制效果评价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2" w:hRule="atLeast"/>
          <w:tblCellSpacing w:w="0" w:type="dxa"/>
          <w:jc w:val="center"/>
        </w:trPr>
        <w:tc>
          <w:tcPr>
            <w:tcW w:w="838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7720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8"/>
              <w:gridCol w:w="6112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8" w:hRule="atLeast"/>
                <w:tblCellSpacing w:w="0" w:type="dxa"/>
                <w:jc w:val="center"/>
              </w:trPr>
              <w:tc>
                <w:tcPr>
                  <w:tcW w:w="77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评价报告编号：17KP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913416006820856612008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0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项目名称</w:t>
                  </w:r>
                </w:p>
              </w:tc>
              <w:tc>
                <w:tcPr>
                  <w:tcW w:w="611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  <w:lang w:eastAsia="zh-CN"/>
                    </w:rPr>
                    <w:t>蒙城佳仕龙机械制造有限公司汽车配套组件生产线建设项目</w:t>
                  </w:r>
                  <w:r>
                    <w:rPr>
                      <w:rFonts w:hint="eastAsia"/>
                      <w:kern w:val="0"/>
                    </w:rPr>
                    <w:t>职业病危害控制效果评价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7" w:hRule="atLeast"/>
                <w:tblCellSpacing w:w="0" w:type="dxa"/>
                <w:jc w:val="center"/>
              </w:trPr>
              <w:tc>
                <w:tcPr>
                  <w:tcW w:w="1608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项目简介</w:t>
                  </w:r>
                </w:p>
              </w:tc>
              <w:tc>
                <w:tcPr>
                  <w:tcW w:w="611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建设单位名称：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蒙城佳仕龙机械制造有限公司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7" w:hRule="atLeast"/>
                <w:tblCellSpacing w:w="0" w:type="dxa"/>
                <w:jc w:val="center"/>
              </w:trPr>
              <w:tc>
                <w:tcPr>
                  <w:tcW w:w="16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kern w:val="0"/>
                    </w:rPr>
                  </w:pPr>
                </w:p>
              </w:tc>
              <w:tc>
                <w:tcPr>
                  <w:tcW w:w="611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地理位置：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蒙城县经济开发区王冠路与梦蝶路交叉口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8" w:hRule="atLeast"/>
                <w:tblCellSpacing w:w="0" w:type="dxa"/>
                <w:jc w:val="center"/>
              </w:trPr>
              <w:tc>
                <w:tcPr>
                  <w:tcW w:w="16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kern w:val="0"/>
                    </w:rPr>
                  </w:pPr>
                </w:p>
              </w:tc>
              <w:tc>
                <w:tcPr>
                  <w:tcW w:w="611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联系人：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付深玉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0" w:hRule="atLeast"/>
                <w:tblCellSpacing w:w="0" w:type="dxa"/>
                <w:jc w:val="center"/>
              </w:trPr>
              <w:tc>
                <w:tcPr>
                  <w:tcW w:w="16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kern w:val="0"/>
                    </w:rPr>
                  </w:pPr>
                </w:p>
              </w:tc>
              <w:tc>
                <w:tcPr>
                  <w:tcW w:w="611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简介：本项目为建设单位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年产达4万套M3配件（江淮汽车配件整车发动机舱、汽车底盘、方向盘、仪表盘等操纵和显示装置）</w:t>
                  </w:r>
                  <w:r>
                    <w:rPr>
                      <w:rFonts w:hint="eastAsia"/>
                      <w:kern w:val="0"/>
                    </w:rPr>
                    <w:t>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56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现场调查、人员名单、时间，建设单位陪同人</w:t>
                  </w:r>
                </w:p>
              </w:tc>
              <w:tc>
                <w:tcPr>
                  <w:tcW w:w="611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现场调查时间：201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kern w:val="0"/>
                    </w:rPr>
                    <w:t>年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kern w:val="0"/>
                    </w:rPr>
                    <w:t>月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kern w:val="0"/>
                    </w:rPr>
                    <w:t>日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现场调查人员名单：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张娟</w:t>
                  </w:r>
                  <w:r>
                    <w:rPr>
                      <w:rFonts w:hint="eastAsia"/>
                      <w:kern w:val="0"/>
                    </w:rPr>
                    <w:t>、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李</w:t>
                  </w:r>
                  <w:r>
                    <w:rPr>
                      <w:rFonts w:hint="eastAsia"/>
                      <w:kern w:val="0"/>
                    </w:rPr>
                    <w:t>楠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建设单位陪同人：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付深玉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0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建设项目存在的职业病危害因素</w:t>
                  </w:r>
                </w:p>
              </w:tc>
              <w:tc>
                <w:tcPr>
                  <w:tcW w:w="611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  <w:lang w:eastAsia="zh-CN"/>
                    </w:rPr>
                    <w:t>一氧化碳、二氧化碳、二氧化氮、臭氧、锰及其化合物、电焊烟尘、其他粉尘、高温、紫外辐射和</w:t>
                  </w:r>
                  <w:r>
                    <w:rPr>
                      <w:rFonts w:hint="eastAsia"/>
                      <w:kern w:val="0"/>
                    </w:rPr>
                    <w:t>噪声等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51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评价结论与建议</w:t>
                  </w:r>
                </w:p>
              </w:tc>
              <w:tc>
                <w:tcPr>
                  <w:tcW w:w="611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根据《建设项目职业病危害风险分类管理目录（2012版）》，本项目属于制造业中第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二十三</w:t>
                  </w:r>
                  <w:r>
                    <w:rPr>
                      <w:rFonts w:hint="eastAsia"/>
                      <w:kern w:val="0"/>
                    </w:rPr>
                    <w:t>类：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汽车制造业，</w:t>
                  </w:r>
                  <w:r>
                    <w:rPr>
                      <w:rFonts w:hint="eastAsia"/>
                      <w:kern w:val="0"/>
                    </w:rPr>
                    <w:t>属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较</w:t>
                  </w:r>
                  <w:r>
                    <w:rPr>
                      <w:rFonts w:hint="eastAsia"/>
                      <w:kern w:val="0"/>
                    </w:rPr>
                    <w:t>重类项目。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经本次评价的综合分析，本项目职业病危害检测结果基本符合国家限值要求，防护设施基本正常，防护用品符合要求。本项目职业病危害控制效果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基本</w:t>
                  </w:r>
                  <w:r>
                    <w:rPr>
                      <w:rFonts w:hint="eastAsia"/>
                      <w:kern w:val="0"/>
                    </w:rPr>
                    <w:t>达到合格要求，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整改完成后</w:t>
                  </w:r>
                  <w:r>
                    <w:rPr>
                      <w:rFonts w:hint="eastAsia"/>
                      <w:kern w:val="0"/>
                    </w:rPr>
                    <w:t>具备进行职业病危害防护设施竣工验收的条件。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建议包括持续改进性建议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12</w:t>
                  </w:r>
                  <w:r>
                    <w:rPr>
                      <w:rFonts w:hint="eastAsia"/>
                      <w:kern w:val="0"/>
                    </w:rPr>
                    <w:t>条，预防性告知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kern w:val="0"/>
                    </w:rPr>
                    <w:t>条。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12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专家评审意见</w:t>
                  </w:r>
                </w:p>
              </w:tc>
              <w:tc>
                <w:tcPr>
                  <w:tcW w:w="611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报告书基本符合《中华人民共和国职业病防治法》等相关法律、法规、标准要求，《控评报告》符合建设项目职业病危害控制效果评价编制要求，对建设项目的职业病防护设施调查分析与评价较为客观，职业病危害因素调查、检测较为全面。</w:t>
                  </w:r>
                </w:p>
                <w:p>
                  <w:pPr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评价机构应按照专家意见和建议并根据建设单位的落实情况，修改完善《报告书》，报专家组复核。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请建设单位认真落实专家建议及《报告书》提出的建议，积极改进存在的问题，整改完善后同意 通过职业病危害防护设施验收。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kern w:val="0"/>
                    </w:rPr>
                    <w:t>2017年</w:t>
                  </w:r>
                  <w:r>
                    <w:rPr>
                      <w:rFonts w:hint="eastAsia" w:ascii="仿宋_GB2312" w:eastAsia="仿宋_GB2312"/>
                      <w:kern w:val="0"/>
                      <w:lang w:val="en-US" w:eastAsia="zh-CN"/>
                    </w:rPr>
                    <w:t>11</w:t>
                  </w:r>
                  <w:r>
                    <w:rPr>
                      <w:rFonts w:hint="eastAsia" w:ascii="仿宋_GB2312" w:eastAsia="仿宋_GB2312"/>
                      <w:kern w:val="0"/>
                    </w:rPr>
                    <w:t>月</w:t>
                  </w:r>
                  <w:r>
                    <w:rPr>
                      <w:rFonts w:hint="eastAsia" w:ascii="仿宋_GB2312" w:eastAsia="仿宋_GB2312"/>
                      <w:kern w:val="0"/>
                      <w:lang w:val="en-US" w:eastAsia="zh-CN"/>
                    </w:rPr>
                    <w:t>13</w:t>
                  </w:r>
                  <w:r>
                    <w:rPr>
                      <w:rFonts w:hint="eastAsia" w:ascii="仿宋_GB2312" w:eastAsia="仿宋_GB2312"/>
                      <w:kern w:val="0"/>
                    </w:rPr>
                    <w:t>日，修改完善后的报告书及建设单位整改后的情况报专家组复核后，同意通过评审及验收。</w:t>
                  </w:r>
                </w:p>
              </w:tc>
            </w:tr>
          </w:tbl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widowControl/>
              <w:spacing w:line="2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0"/>
                <w:szCs w:val="30"/>
                <w:lang w:eastAsia="zh-CN"/>
              </w:rPr>
              <w:t>涡阳钜将家具制造有限公司年产20万件</w:t>
            </w:r>
          </w:p>
          <w:p>
            <w:pPr>
              <w:widowControl/>
              <w:spacing w:line="250" w:lineRule="atLeast"/>
              <w:jc w:val="center"/>
              <w:rPr>
                <w:rFonts w:ascii="Arial Narrow" w:hAnsi="Arial Narrow" w:eastAsia="宋体" w:cs="宋体"/>
                <w:color w:val="005F97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0"/>
                <w:szCs w:val="30"/>
                <w:lang w:eastAsia="zh-CN"/>
              </w:rPr>
              <w:t>系列家具生产线建设项目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0"/>
                <w:szCs w:val="30"/>
              </w:rPr>
              <w:t>职业病危害控制效果评价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7719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8"/>
              <w:gridCol w:w="6111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  <w:tblCellSpacing w:w="0" w:type="dxa"/>
                <w:jc w:val="center"/>
              </w:trPr>
              <w:tc>
                <w:tcPr>
                  <w:tcW w:w="771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spacing w:before="156" w:beforeLines="50"/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评价报告编号：17KP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913416006820856612003</w:t>
                  </w:r>
                </w:p>
                <w:p>
                  <w:pPr>
                    <w:rPr>
                      <w:kern w:val="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2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项目名称</w:t>
                  </w: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rFonts w:hint="eastAsia"/>
                      <w:kern w:val="0"/>
                      <w:lang w:eastAsia="zh-CN"/>
                    </w:rPr>
                  </w:pPr>
                  <w:r>
                    <w:rPr>
                      <w:rFonts w:hint="eastAsia"/>
                      <w:kern w:val="0"/>
                      <w:lang w:eastAsia="zh-CN"/>
                    </w:rPr>
                    <w:t>涡阳钜将家具制造有限公司年产20万件系列家具生产线建设项目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职业病危害控制效果评价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 w:hRule="atLeast"/>
                <w:tblCellSpacing w:w="0" w:type="dxa"/>
                <w:jc w:val="center"/>
              </w:trPr>
              <w:tc>
                <w:tcPr>
                  <w:tcW w:w="1608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项目简介</w:t>
                  </w: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建设单位名称：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涡阳钜将家具制造有限公司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5" w:hRule="atLeast"/>
                <w:tblCellSpacing w:w="0" w:type="dxa"/>
                <w:jc w:val="center"/>
              </w:trPr>
              <w:tc>
                <w:tcPr>
                  <w:tcW w:w="16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kern w:val="0"/>
                    </w:rPr>
                  </w:pP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地理位置：亳州市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涡阳县城西工业园区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0" w:hRule="atLeast"/>
                <w:tblCellSpacing w:w="0" w:type="dxa"/>
                <w:jc w:val="center"/>
              </w:trPr>
              <w:tc>
                <w:tcPr>
                  <w:tcW w:w="16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kern w:val="0"/>
                    </w:rPr>
                  </w:pP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联系人：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田慧慧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2" w:hRule="atLeast"/>
                <w:tblCellSpacing w:w="0" w:type="dxa"/>
                <w:jc w:val="center"/>
              </w:trPr>
              <w:tc>
                <w:tcPr>
                  <w:tcW w:w="16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kern w:val="0"/>
                    </w:rPr>
                  </w:pP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简介：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涡阳钜将家具制造有限公司是河南省钜将实业有限公司下的子公司，河南省钜将实业有限公司成立于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2005年，经营多种业务。该公司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生产设备先进，产品属国内知名品牌，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2008年获得IS09001质量认证和IS01400质量认证。公司设有科研设计部、生产技术部、质量控制部、营销部、企划部等部门，技术人员大部分曾在较知名的大型家具企业搞过研发，开发和研制的产品适合国内城市的消费水平，其产品深受消费者的喜爱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7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现场调查、人员名单、时间，建设单位陪同人</w:t>
                  </w: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kern w:val="0"/>
                    </w:rPr>
                    <w:t>现场调查时</w:t>
                  </w:r>
                  <w:r>
                    <w:rPr>
                      <w:rFonts w:hint="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  <w:t>间：201</w:t>
                  </w:r>
                  <w:r>
                    <w:rPr>
                      <w:rFonts w:hint="eastAsia"/>
                      <w:color w:val="000000" w:themeColor="text1"/>
                      <w:kern w:val="0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  <w:r>
                    <w:rPr>
                      <w:rFonts w:hint="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  <w:t>年</w:t>
                  </w:r>
                  <w:r>
                    <w:rPr>
                      <w:rFonts w:hint="eastAsia"/>
                      <w:color w:val="000000" w:themeColor="text1"/>
                      <w:kern w:val="0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  <w:r>
                    <w:rPr>
                      <w:rFonts w:hint="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  <w:t>月</w:t>
                  </w:r>
                  <w:r>
                    <w:rPr>
                      <w:rFonts w:hint="eastAsia"/>
                      <w:color w:val="000000" w:themeColor="text1"/>
                      <w:kern w:val="0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  <w:r>
                    <w:rPr>
                      <w:rFonts w:hint="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  <w:t>日</w:t>
                  </w:r>
                </w:p>
                <w:p>
                  <w:pPr>
                    <w:rPr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  <w:t>现场调查人员名单：</w:t>
                  </w:r>
                  <w:r>
                    <w:rPr>
                      <w:rFonts w:hint="eastAsia"/>
                      <w:color w:val="000000" w:themeColor="text1"/>
                      <w:kern w:val="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赵静、马秀平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  <w:t>建设单位陪同人：</w:t>
                  </w:r>
                  <w:r>
                    <w:rPr>
                      <w:rFonts w:hint="eastAsia"/>
                      <w:color w:val="000000" w:themeColor="text1"/>
                      <w:kern w:val="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吴侠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7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建设项目存在的职业病危害因素</w:t>
                  </w: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  <w:lang w:eastAsia="zh-CN"/>
                    </w:rPr>
                    <w:t>木</w:t>
                  </w:r>
                  <w:r>
                    <w:rPr>
                      <w:rFonts w:hint="eastAsia"/>
                      <w:kern w:val="0"/>
                    </w:rPr>
                    <w:t>粉尘、噪声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、甲醛</w:t>
                  </w:r>
                  <w:r>
                    <w:rPr>
                      <w:rFonts w:hint="eastAsia"/>
                      <w:kern w:val="0"/>
                    </w:rPr>
                    <w:t>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评价结论与建议</w:t>
                  </w: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依据《职业病危害风险分类管理目录》（2012年版）本项目属于制造业中第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9</w:t>
                  </w:r>
                  <w:r>
                    <w:rPr>
                      <w:rFonts w:hint="eastAsia"/>
                      <w:kern w:val="0"/>
                    </w:rPr>
                    <w:t>大类：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家具</w:t>
                  </w:r>
                  <w:r>
                    <w:rPr>
                      <w:rFonts w:hint="eastAsia"/>
                      <w:kern w:val="0"/>
                    </w:rPr>
                    <w:t>制造业中第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一</w:t>
                  </w:r>
                  <w:r>
                    <w:rPr>
                      <w:rFonts w:hint="eastAsia"/>
                      <w:kern w:val="0"/>
                    </w:rPr>
                    <w:t>类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木质家具制造</w:t>
                  </w:r>
                  <w:r>
                    <w:rPr>
                      <w:rFonts w:hint="eastAsia"/>
                      <w:kern w:val="0"/>
                    </w:rPr>
                    <w:t>，属严重类项目。结合本项目职业病危害因素存在范围、接触人数、接触时间、接触浓度、危害程度及防护措施进行综合分析后，评价单位认为，本建设项目属于职业病危害严重项目。经本次评价的综合分析，本项目的设备布局，建筑卫生学，个人使用职业病防护用品，职业健康监护和职业卫生管理措施等方面符合国家有关法律、法规的要求。职业病危害控制效果能够达到合格要求，具备进行职业病危害防护设施竣工验收的条件。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建议包括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整改性建议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3条，持续改进性建议10条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  <w:tblCellSpacing w:w="0" w:type="dxa"/>
                <w:jc w:val="center"/>
              </w:trPr>
              <w:tc>
                <w:tcPr>
                  <w:tcW w:w="16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专家评审意见</w:t>
                  </w: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>
                  <w:pPr>
                    <w:rPr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kern w:val="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控评报告》符合建设项目职业病危害控制效果评价编制要求，对建设项目的职业病防护设施进行了调查分析与评价，职业病危害因素识别较为全面，结论准确。建设单位应按《控评报告》的建议和验收组提出的意见对作业场所进行整改</w:t>
                  </w:r>
                  <w:r>
                    <w:rPr>
                      <w:rFonts w:hint="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  <w:r>
                    <w:rPr>
                      <w:rFonts w:hint="eastAsia"/>
                      <w:color w:val="000000" w:themeColor="text1"/>
                      <w:kern w:val="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评价机构按验收意见修改完善《控评报告》，经专家组确认。</w:t>
                  </w:r>
                </w:p>
                <w:p>
                  <w:pPr>
                    <w:rPr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  <w:t>2017年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  <w:t>月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  <w:t>日，修改完善后的报告书及建设单位整改后的情况报专家组复核后，同意通过评审及验收。</w:t>
                  </w:r>
                </w:p>
              </w:tc>
            </w:tr>
          </w:tbl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_5b8b_4f53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31A56"/>
    <w:rsid w:val="37251EF6"/>
    <w:rsid w:val="6473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2017-12-09T06:35:00Z</dcterms:created>
  <dc:creator>Administrator</dc:creator>
  <cp:lastModifiedBy>Administrator</cp:lastModifiedBy>
  <dcterms:modified xsi:type="dcterms:W3CDTF">2017-12-09T06:45:03Z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